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FB2FF2" w:rsidRDefault="00DE532C" w:rsidP="00035430"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55.9pt;margin-top:-21.3pt;width:330.4pt;height:40.7pt;z-index:-251656192" wrapcoords="3722 0 539 800 -49 3200 -49 18000 147 20000 7984 21600 15918 22800 16212 22800 19151 22800 21796 21200 21796 2800 15771 800 4261 0 3722 0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INVESTIGATION ADVICE NOTE"/>
            <w10:wrap type="tight"/>
          </v:shape>
        </w:pict>
      </w:r>
    </w:p>
    <w:p w:rsidR="00035430" w:rsidRDefault="00DE532C" w:rsidP="00035430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38.95pt;margin-top:5.85pt;width:179.15pt;height:23.95pt;z-index:251664384;mso-width-percent:400;mso-width-percent:400;mso-width-relative:margin;mso-height-relative:margin">
            <v:textbox>
              <w:txbxContent>
                <w:p w:rsidR="00B73DDD" w:rsidRPr="00B73DDD" w:rsidRDefault="00354805" w:rsidP="0035480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Escalation and </w:t>
                  </w:r>
                  <w:proofErr w:type="spellStart"/>
                  <w:r>
                    <w:rPr>
                      <w:sz w:val="28"/>
                      <w:szCs w:val="28"/>
                    </w:rPr>
                    <w:t>comms</w:t>
                  </w:r>
                  <w:proofErr w:type="spellEnd"/>
                </w:p>
              </w:txbxContent>
            </v:textbox>
          </v:shape>
        </w:pict>
      </w:r>
    </w:p>
    <w:p w:rsidR="00B73DDD" w:rsidRDefault="00B73DDD" w:rsidP="00FB2FF2">
      <w:pPr>
        <w:pStyle w:val="Heading3"/>
        <w:numPr>
          <w:ilvl w:val="0"/>
          <w:numId w:val="0"/>
        </w:numPr>
        <w:ind w:left="567" w:hanging="567"/>
      </w:pPr>
      <w:bookmarkStart w:id="0" w:name="_Toc326646922"/>
    </w:p>
    <w:p w:rsidR="00914E31" w:rsidRDefault="00914E31" w:rsidP="00914E31">
      <w:pPr>
        <w:pStyle w:val="Heading3"/>
        <w:numPr>
          <w:ilvl w:val="0"/>
          <w:numId w:val="0"/>
        </w:numPr>
        <w:ind w:left="567" w:hanging="567"/>
      </w:pPr>
      <w:bookmarkStart w:id="1" w:name="_Toc325529886"/>
      <w:bookmarkEnd w:id="0"/>
    </w:p>
    <w:p w:rsidR="00354805" w:rsidRDefault="00354805" w:rsidP="00354805">
      <w:bookmarkStart w:id="2" w:name="_Toc325529883"/>
      <w:r>
        <w:t xml:space="preserve">If the incident is an actual level 4 or 5 or early indications are it is a Lost Work Case then using the template in </w:t>
      </w:r>
      <w:hyperlink r:id="rId6" w:history="1">
        <w:r w:rsidRPr="0098358F">
          <w:rPr>
            <w:rStyle w:val="Hyperlink"/>
          </w:rPr>
          <w:t>GU612, page (61)</w:t>
        </w:r>
      </w:hyperlink>
      <w:r>
        <w:t xml:space="preserve"> the incident needs escalating via email immediately to the list below within 16 hours. </w:t>
      </w:r>
    </w:p>
    <w:p w:rsidR="00BF2759" w:rsidRDefault="00354805" w:rsidP="00BF2759">
      <w:pPr>
        <w:ind w:right="274"/>
        <w:rPr>
          <w:i/>
          <w:iCs/>
        </w:rPr>
      </w:pPr>
      <w:r w:rsidRPr="00BF2759">
        <w:rPr>
          <w:i/>
          <w:iCs/>
        </w:rPr>
        <w:t>Incident Owner, Director</w:t>
      </w:r>
      <w:proofErr w:type="gramStart"/>
      <w:r w:rsidRPr="00BF2759">
        <w:rPr>
          <w:i/>
          <w:iCs/>
        </w:rPr>
        <w:t xml:space="preserve">, </w:t>
      </w:r>
      <w:r w:rsidR="00756363" w:rsidRPr="00BF2759">
        <w:rPr>
          <w:i/>
          <w:iCs/>
        </w:rPr>
        <w:t xml:space="preserve"> </w:t>
      </w:r>
      <w:r w:rsidRPr="00BF2759">
        <w:rPr>
          <w:i/>
          <w:iCs/>
        </w:rPr>
        <w:t>HSE</w:t>
      </w:r>
      <w:proofErr w:type="gramEnd"/>
      <w:r w:rsidRPr="00BF2759">
        <w:rPr>
          <w:i/>
          <w:iCs/>
        </w:rPr>
        <w:t xml:space="preserve"> </w:t>
      </w:r>
      <w:proofErr w:type="spellStart"/>
      <w:r w:rsidRPr="00BF2759">
        <w:rPr>
          <w:i/>
          <w:iCs/>
        </w:rPr>
        <w:t>Teamleader</w:t>
      </w:r>
      <w:proofErr w:type="spellEnd"/>
      <w:r w:rsidRPr="00BF2759">
        <w:rPr>
          <w:i/>
          <w:iCs/>
        </w:rPr>
        <w:t xml:space="preserve">, MSE5, </w:t>
      </w:r>
      <w:r w:rsidR="00756363" w:rsidRPr="00BF2759">
        <w:rPr>
          <w:i/>
          <w:iCs/>
        </w:rPr>
        <w:t xml:space="preserve"> </w:t>
      </w:r>
      <w:r w:rsidRPr="00BF2759">
        <w:rPr>
          <w:i/>
          <w:iCs/>
        </w:rPr>
        <w:t>MSE52</w:t>
      </w:r>
      <w:r w:rsidR="00756363" w:rsidRPr="00BF2759">
        <w:rPr>
          <w:i/>
          <w:iCs/>
        </w:rPr>
        <w:t xml:space="preserve">, MSE54, </w:t>
      </w:r>
      <w:r w:rsidRPr="00BF2759">
        <w:rPr>
          <w:i/>
          <w:iCs/>
        </w:rPr>
        <w:t>MSE2 (Environmental only)</w:t>
      </w:r>
      <w:r w:rsidR="00756363" w:rsidRPr="00BF2759">
        <w:rPr>
          <w:i/>
          <w:iCs/>
        </w:rPr>
        <w:t xml:space="preserve">, </w:t>
      </w:r>
      <w:r w:rsidRPr="00BF2759">
        <w:rPr>
          <w:i/>
          <w:iCs/>
        </w:rPr>
        <w:t>MSE13 (Road traffic incident only)</w:t>
      </w:r>
      <w:r w:rsidR="00756363" w:rsidRPr="00BF2759">
        <w:rPr>
          <w:i/>
          <w:iCs/>
        </w:rPr>
        <w:t xml:space="preserve">,  </w:t>
      </w:r>
      <w:r w:rsidRPr="00BF2759">
        <w:rPr>
          <w:i/>
          <w:iCs/>
        </w:rPr>
        <w:t>MSE4 (Process safety incident only for Tier 1</w:t>
      </w:r>
      <w:r w:rsidR="00BF2759">
        <w:rPr>
          <w:i/>
          <w:iCs/>
        </w:rPr>
        <w:t>,2</w:t>
      </w:r>
    </w:p>
    <w:p w:rsidR="00354805" w:rsidRDefault="00354805" w:rsidP="00BF2759">
      <w:pPr>
        <w:ind w:right="274"/>
      </w:pPr>
      <w:r>
        <w:t>The email shall be sent the same day of the incident and should only include known facts. Avoid any speculation.   The MSE5 team will create a draft notification and after agreement with the Incident Owner the notification will be issued to the appropriate person for publishing as per the table below: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4"/>
        <w:gridCol w:w="1882"/>
        <w:gridCol w:w="2913"/>
        <w:gridCol w:w="1809"/>
      </w:tblGrid>
      <w:tr w:rsidR="00354805" w:rsidTr="00075582">
        <w:tc>
          <w:tcPr>
            <w:tcW w:w="0" w:type="auto"/>
          </w:tcPr>
          <w:p w:rsidR="00354805" w:rsidRPr="00442B47" w:rsidRDefault="00354805" w:rsidP="00075582">
            <w:pPr>
              <w:spacing w:line="480" w:lineRule="auto"/>
              <w:ind w:left="360" w:right="274"/>
              <w:rPr>
                <w:b/>
                <w:bCs/>
                <w:sz w:val="18"/>
                <w:szCs w:val="18"/>
              </w:rPr>
            </w:pPr>
            <w:r w:rsidRPr="00442B47">
              <w:rPr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0" w:type="auto"/>
          </w:tcPr>
          <w:p w:rsidR="00354805" w:rsidRPr="00442B47" w:rsidRDefault="00354805" w:rsidP="00075582">
            <w:pPr>
              <w:spacing w:line="480" w:lineRule="auto"/>
              <w:ind w:left="360" w:right="274"/>
              <w:rPr>
                <w:b/>
                <w:bCs/>
                <w:sz w:val="18"/>
                <w:szCs w:val="18"/>
              </w:rPr>
            </w:pPr>
            <w:r w:rsidRPr="00442B47">
              <w:rPr>
                <w:b/>
                <w:bCs/>
                <w:sz w:val="18"/>
                <w:szCs w:val="18"/>
              </w:rPr>
              <w:t>Issued by</w:t>
            </w:r>
          </w:p>
        </w:tc>
        <w:tc>
          <w:tcPr>
            <w:tcW w:w="0" w:type="auto"/>
          </w:tcPr>
          <w:p w:rsidR="00354805" w:rsidRPr="00442B47" w:rsidRDefault="00354805" w:rsidP="00075582">
            <w:pPr>
              <w:spacing w:line="480" w:lineRule="auto"/>
              <w:ind w:left="360" w:right="274"/>
              <w:rPr>
                <w:b/>
                <w:bCs/>
                <w:sz w:val="18"/>
                <w:szCs w:val="18"/>
              </w:rPr>
            </w:pPr>
            <w:r w:rsidRPr="00442B47">
              <w:rPr>
                <w:b/>
                <w:bCs/>
                <w:sz w:val="18"/>
                <w:szCs w:val="18"/>
              </w:rPr>
              <w:t>Published to</w:t>
            </w:r>
          </w:p>
        </w:tc>
        <w:tc>
          <w:tcPr>
            <w:tcW w:w="1809" w:type="dxa"/>
          </w:tcPr>
          <w:p w:rsidR="00354805" w:rsidRPr="00442B47" w:rsidRDefault="00354805" w:rsidP="00075582">
            <w:pPr>
              <w:spacing w:line="480" w:lineRule="auto"/>
              <w:ind w:left="360" w:right="274"/>
              <w:rPr>
                <w:b/>
                <w:bCs/>
                <w:sz w:val="18"/>
                <w:szCs w:val="18"/>
              </w:rPr>
            </w:pPr>
            <w:r w:rsidRPr="00442B47">
              <w:rPr>
                <w:b/>
                <w:bCs/>
                <w:sz w:val="18"/>
                <w:szCs w:val="18"/>
              </w:rPr>
              <w:t>Deadline</w:t>
            </w:r>
          </w:p>
        </w:tc>
      </w:tr>
      <w:tr w:rsidR="00354805" w:rsidTr="00075582">
        <w:tc>
          <w:tcPr>
            <w:tcW w:w="0" w:type="auto"/>
          </w:tcPr>
          <w:p w:rsidR="00354805" w:rsidRPr="00FB74E5" w:rsidRDefault="00354805" w:rsidP="00075582">
            <w:pPr>
              <w:ind w:right="274"/>
              <w:rPr>
                <w:sz w:val="18"/>
                <w:szCs w:val="18"/>
              </w:rPr>
            </w:pPr>
            <w:r w:rsidRPr="00FB74E5">
              <w:rPr>
                <w:sz w:val="18"/>
                <w:szCs w:val="18"/>
              </w:rPr>
              <w:t>Actual 4/5 incident or High Potential</w:t>
            </w:r>
          </w:p>
        </w:tc>
        <w:tc>
          <w:tcPr>
            <w:tcW w:w="0" w:type="auto"/>
          </w:tcPr>
          <w:p w:rsidR="00354805" w:rsidRPr="00FB74E5" w:rsidRDefault="00354805" w:rsidP="00075582">
            <w:pPr>
              <w:ind w:left="360" w:right="274"/>
              <w:rPr>
                <w:sz w:val="18"/>
                <w:szCs w:val="18"/>
              </w:rPr>
            </w:pPr>
            <w:r w:rsidRPr="00FB74E5">
              <w:rPr>
                <w:sz w:val="18"/>
                <w:szCs w:val="18"/>
              </w:rPr>
              <w:t>Managing Director</w:t>
            </w:r>
          </w:p>
        </w:tc>
        <w:tc>
          <w:tcPr>
            <w:tcW w:w="0" w:type="auto"/>
          </w:tcPr>
          <w:p w:rsidR="00354805" w:rsidRPr="00FB74E5" w:rsidRDefault="00354805" w:rsidP="00075582">
            <w:pPr>
              <w:ind w:left="360" w:right="274"/>
              <w:rPr>
                <w:sz w:val="18"/>
                <w:szCs w:val="18"/>
              </w:rPr>
            </w:pPr>
            <w:r w:rsidRPr="00FB74E5">
              <w:rPr>
                <w:sz w:val="18"/>
                <w:szCs w:val="18"/>
              </w:rPr>
              <w:t>Ministry, Shareholders, Employees</w:t>
            </w:r>
          </w:p>
        </w:tc>
        <w:tc>
          <w:tcPr>
            <w:tcW w:w="1809" w:type="dxa"/>
          </w:tcPr>
          <w:p w:rsidR="00354805" w:rsidRPr="00FB74E5" w:rsidRDefault="00354805" w:rsidP="00075582">
            <w:pPr>
              <w:ind w:left="360" w:right="274"/>
              <w:rPr>
                <w:sz w:val="18"/>
                <w:szCs w:val="18"/>
              </w:rPr>
            </w:pPr>
            <w:r w:rsidRPr="00FB74E5">
              <w:rPr>
                <w:sz w:val="18"/>
                <w:szCs w:val="18"/>
              </w:rPr>
              <w:t>48 hours</w:t>
            </w:r>
          </w:p>
        </w:tc>
      </w:tr>
      <w:tr w:rsidR="00354805" w:rsidTr="00075582">
        <w:tc>
          <w:tcPr>
            <w:tcW w:w="0" w:type="auto"/>
          </w:tcPr>
          <w:p w:rsidR="00354805" w:rsidRPr="00FB74E5" w:rsidRDefault="00354805" w:rsidP="00075582">
            <w:pPr>
              <w:ind w:right="274"/>
              <w:rPr>
                <w:sz w:val="18"/>
                <w:szCs w:val="18"/>
              </w:rPr>
            </w:pPr>
            <w:r w:rsidRPr="00FB74E5">
              <w:rPr>
                <w:sz w:val="18"/>
                <w:szCs w:val="18"/>
              </w:rPr>
              <w:t>Non Accidental Death</w:t>
            </w:r>
          </w:p>
        </w:tc>
        <w:tc>
          <w:tcPr>
            <w:tcW w:w="0" w:type="auto"/>
          </w:tcPr>
          <w:p w:rsidR="00354805" w:rsidRPr="00FB74E5" w:rsidRDefault="00354805" w:rsidP="00075582">
            <w:pPr>
              <w:ind w:left="360" w:right="274"/>
              <w:rPr>
                <w:sz w:val="18"/>
                <w:szCs w:val="18"/>
              </w:rPr>
            </w:pPr>
            <w:r w:rsidRPr="00FB74E5">
              <w:rPr>
                <w:sz w:val="18"/>
                <w:szCs w:val="18"/>
              </w:rPr>
              <w:t>Director</w:t>
            </w:r>
          </w:p>
        </w:tc>
        <w:tc>
          <w:tcPr>
            <w:tcW w:w="0" w:type="auto"/>
          </w:tcPr>
          <w:p w:rsidR="00354805" w:rsidRPr="00FB74E5" w:rsidRDefault="00354805" w:rsidP="00075582">
            <w:pPr>
              <w:ind w:left="360" w:right="274"/>
              <w:rPr>
                <w:sz w:val="18"/>
                <w:szCs w:val="18"/>
              </w:rPr>
            </w:pPr>
            <w:r w:rsidRPr="00FB74E5">
              <w:rPr>
                <w:sz w:val="18"/>
                <w:szCs w:val="18"/>
              </w:rPr>
              <w:t>Employees, Shareholders</w:t>
            </w:r>
          </w:p>
        </w:tc>
        <w:tc>
          <w:tcPr>
            <w:tcW w:w="1809" w:type="dxa"/>
          </w:tcPr>
          <w:p w:rsidR="00354805" w:rsidRPr="00FB74E5" w:rsidRDefault="00354805" w:rsidP="00075582">
            <w:pPr>
              <w:ind w:left="360" w:right="274"/>
              <w:rPr>
                <w:sz w:val="18"/>
                <w:szCs w:val="18"/>
              </w:rPr>
            </w:pPr>
            <w:r w:rsidRPr="00FB74E5">
              <w:rPr>
                <w:sz w:val="18"/>
                <w:szCs w:val="18"/>
              </w:rPr>
              <w:t>48 hours</w:t>
            </w:r>
          </w:p>
        </w:tc>
      </w:tr>
      <w:tr w:rsidR="00354805" w:rsidTr="00075582">
        <w:tc>
          <w:tcPr>
            <w:tcW w:w="0" w:type="auto"/>
          </w:tcPr>
          <w:p w:rsidR="00354805" w:rsidRPr="00FB74E5" w:rsidRDefault="00354805" w:rsidP="00075582">
            <w:pPr>
              <w:ind w:right="274"/>
              <w:rPr>
                <w:sz w:val="18"/>
                <w:szCs w:val="18"/>
              </w:rPr>
            </w:pPr>
            <w:r w:rsidRPr="00FB74E5">
              <w:rPr>
                <w:sz w:val="18"/>
                <w:szCs w:val="18"/>
              </w:rPr>
              <w:t>Significant Environmental Incident</w:t>
            </w:r>
          </w:p>
        </w:tc>
        <w:tc>
          <w:tcPr>
            <w:tcW w:w="0" w:type="auto"/>
          </w:tcPr>
          <w:p w:rsidR="00354805" w:rsidRPr="00FB74E5" w:rsidRDefault="00354805" w:rsidP="00075582">
            <w:pPr>
              <w:spacing w:line="480" w:lineRule="auto"/>
              <w:ind w:left="360" w:right="274"/>
              <w:rPr>
                <w:sz w:val="18"/>
                <w:szCs w:val="18"/>
              </w:rPr>
            </w:pPr>
            <w:r w:rsidRPr="00FB74E5">
              <w:rPr>
                <w:sz w:val="18"/>
                <w:szCs w:val="18"/>
              </w:rPr>
              <w:t>MSE2</w:t>
            </w:r>
          </w:p>
          <w:p w:rsidR="00354805" w:rsidRPr="00FB74E5" w:rsidRDefault="00354805" w:rsidP="00075582">
            <w:pPr>
              <w:spacing w:line="480" w:lineRule="auto"/>
              <w:ind w:left="360" w:right="274"/>
              <w:rPr>
                <w:sz w:val="18"/>
                <w:szCs w:val="18"/>
              </w:rPr>
            </w:pPr>
            <w:r w:rsidRPr="00FB74E5">
              <w:rPr>
                <w:sz w:val="18"/>
                <w:szCs w:val="18"/>
              </w:rPr>
              <w:t>Director</w:t>
            </w:r>
          </w:p>
        </w:tc>
        <w:tc>
          <w:tcPr>
            <w:tcW w:w="0" w:type="auto"/>
          </w:tcPr>
          <w:p w:rsidR="00354805" w:rsidRPr="00FB74E5" w:rsidRDefault="00354805" w:rsidP="00075582">
            <w:pPr>
              <w:ind w:left="360" w:right="274"/>
              <w:rPr>
                <w:sz w:val="18"/>
                <w:szCs w:val="18"/>
              </w:rPr>
            </w:pPr>
            <w:r w:rsidRPr="00FB74E5">
              <w:rPr>
                <w:sz w:val="18"/>
                <w:szCs w:val="18"/>
              </w:rPr>
              <w:t>Ministry of Environment and Climate Affairs</w:t>
            </w:r>
          </w:p>
          <w:p w:rsidR="00354805" w:rsidRPr="00FB74E5" w:rsidRDefault="00354805" w:rsidP="00075582">
            <w:pPr>
              <w:ind w:left="360" w:right="274"/>
              <w:rPr>
                <w:sz w:val="18"/>
                <w:szCs w:val="18"/>
              </w:rPr>
            </w:pPr>
            <w:r w:rsidRPr="00FB74E5">
              <w:rPr>
                <w:sz w:val="18"/>
                <w:szCs w:val="18"/>
              </w:rPr>
              <w:t>Employees</w:t>
            </w:r>
          </w:p>
        </w:tc>
        <w:tc>
          <w:tcPr>
            <w:tcW w:w="1809" w:type="dxa"/>
          </w:tcPr>
          <w:p w:rsidR="00354805" w:rsidRPr="00FB74E5" w:rsidRDefault="00354805" w:rsidP="00075582">
            <w:pPr>
              <w:spacing w:line="480" w:lineRule="auto"/>
              <w:ind w:left="360" w:right="274"/>
              <w:rPr>
                <w:sz w:val="18"/>
                <w:szCs w:val="18"/>
              </w:rPr>
            </w:pPr>
            <w:r w:rsidRPr="00BF2759">
              <w:rPr>
                <w:sz w:val="18"/>
                <w:szCs w:val="18"/>
              </w:rPr>
              <w:t>24 hours</w:t>
            </w:r>
          </w:p>
          <w:p w:rsidR="00354805" w:rsidRPr="00FB74E5" w:rsidRDefault="00354805" w:rsidP="00075582">
            <w:pPr>
              <w:spacing w:line="480" w:lineRule="auto"/>
              <w:ind w:left="360" w:right="274"/>
              <w:rPr>
                <w:sz w:val="18"/>
                <w:szCs w:val="18"/>
              </w:rPr>
            </w:pPr>
            <w:r w:rsidRPr="00FB74E5">
              <w:rPr>
                <w:sz w:val="18"/>
                <w:szCs w:val="18"/>
              </w:rPr>
              <w:t>48 hours</w:t>
            </w:r>
          </w:p>
        </w:tc>
      </w:tr>
      <w:tr w:rsidR="00354805" w:rsidTr="00075582">
        <w:tc>
          <w:tcPr>
            <w:tcW w:w="0" w:type="auto"/>
          </w:tcPr>
          <w:p w:rsidR="00354805" w:rsidRPr="00FB74E5" w:rsidRDefault="00354805" w:rsidP="00075582">
            <w:pPr>
              <w:ind w:right="274"/>
              <w:rPr>
                <w:sz w:val="18"/>
                <w:szCs w:val="18"/>
              </w:rPr>
            </w:pPr>
            <w:r w:rsidRPr="00FB74E5">
              <w:rPr>
                <w:sz w:val="18"/>
                <w:szCs w:val="18"/>
              </w:rPr>
              <w:t>Lost workday case</w:t>
            </w:r>
          </w:p>
        </w:tc>
        <w:tc>
          <w:tcPr>
            <w:tcW w:w="0" w:type="auto"/>
          </w:tcPr>
          <w:p w:rsidR="00354805" w:rsidRPr="00FB74E5" w:rsidRDefault="00354805" w:rsidP="00075582">
            <w:pPr>
              <w:ind w:left="360" w:right="274"/>
              <w:rPr>
                <w:sz w:val="18"/>
                <w:szCs w:val="18"/>
              </w:rPr>
            </w:pPr>
            <w:r w:rsidRPr="00FB74E5">
              <w:rPr>
                <w:sz w:val="18"/>
                <w:szCs w:val="18"/>
              </w:rPr>
              <w:t>Director</w:t>
            </w:r>
          </w:p>
        </w:tc>
        <w:tc>
          <w:tcPr>
            <w:tcW w:w="0" w:type="auto"/>
          </w:tcPr>
          <w:p w:rsidR="00354805" w:rsidRPr="00FB74E5" w:rsidRDefault="00354805" w:rsidP="00075582">
            <w:pPr>
              <w:ind w:left="360" w:right="274"/>
              <w:rPr>
                <w:sz w:val="18"/>
                <w:szCs w:val="18"/>
              </w:rPr>
            </w:pPr>
            <w:r w:rsidRPr="00FB74E5">
              <w:rPr>
                <w:sz w:val="18"/>
                <w:szCs w:val="18"/>
              </w:rPr>
              <w:t>Employees</w:t>
            </w:r>
          </w:p>
        </w:tc>
        <w:tc>
          <w:tcPr>
            <w:tcW w:w="1809" w:type="dxa"/>
          </w:tcPr>
          <w:p w:rsidR="00354805" w:rsidRPr="00FB74E5" w:rsidRDefault="00354805" w:rsidP="00075582">
            <w:pPr>
              <w:ind w:left="360" w:right="274"/>
              <w:rPr>
                <w:sz w:val="18"/>
                <w:szCs w:val="18"/>
              </w:rPr>
            </w:pPr>
            <w:r w:rsidRPr="00FB74E5">
              <w:rPr>
                <w:sz w:val="18"/>
                <w:szCs w:val="18"/>
              </w:rPr>
              <w:t>48 hours</w:t>
            </w:r>
          </w:p>
        </w:tc>
      </w:tr>
      <w:tr w:rsidR="00354805" w:rsidTr="00075582">
        <w:tc>
          <w:tcPr>
            <w:tcW w:w="0" w:type="auto"/>
          </w:tcPr>
          <w:p w:rsidR="00354805" w:rsidRPr="00FB74E5" w:rsidRDefault="00354805" w:rsidP="00075582">
            <w:pPr>
              <w:ind w:right="274"/>
              <w:rPr>
                <w:sz w:val="18"/>
                <w:szCs w:val="18"/>
              </w:rPr>
            </w:pPr>
            <w:r w:rsidRPr="00FB74E5">
              <w:rPr>
                <w:sz w:val="18"/>
                <w:szCs w:val="18"/>
              </w:rPr>
              <w:t>Tier one process incidents</w:t>
            </w:r>
          </w:p>
        </w:tc>
        <w:tc>
          <w:tcPr>
            <w:tcW w:w="0" w:type="auto"/>
          </w:tcPr>
          <w:p w:rsidR="00354805" w:rsidRPr="00FB74E5" w:rsidRDefault="00354805" w:rsidP="00075582">
            <w:pPr>
              <w:ind w:left="360" w:right="274"/>
              <w:rPr>
                <w:sz w:val="18"/>
                <w:szCs w:val="18"/>
              </w:rPr>
            </w:pPr>
            <w:r w:rsidRPr="00FB74E5">
              <w:rPr>
                <w:sz w:val="18"/>
                <w:szCs w:val="18"/>
              </w:rPr>
              <w:t>Director</w:t>
            </w:r>
          </w:p>
        </w:tc>
        <w:tc>
          <w:tcPr>
            <w:tcW w:w="0" w:type="auto"/>
          </w:tcPr>
          <w:p w:rsidR="00354805" w:rsidRPr="00FB74E5" w:rsidRDefault="00354805" w:rsidP="00075582">
            <w:pPr>
              <w:ind w:left="360" w:right="274"/>
              <w:rPr>
                <w:sz w:val="18"/>
                <w:szCs w:val="18"/>
              </w:rPr>
            </w:pPr>
            <w:r w:rsidRPr="00FB74E5">
              <w:rPr>
                <w:sz w:val="18"/>
                <w:szCs w:val="18"/>
              </w:rPr>
              <w:t>Employees</w:t>
            </w:r>
          </w:p>
        </w:tc>
        <w:tc>
          <w:tcPr>
            <w:tcW w:w="1809" w:type="dxa"/>
          </w:tcPr>
          <w:p w:rsidR="00354805" w:rsidRPr="00FB74E5" w:rsidRDefault="00354805" w:rsidP="00075582">
            <w:pPr>
              <w:ind w:left="360" w:right="274"/>
              <w:rPr>
                <w:sz w:val="18"/>
                <w:szCs w:val="18"/>
              </w:rPr>
            </w:pPr>
            <w:r w:rsidRPr="00FB74E5">
              <w:rPr>
                <w:sz w:val="18"/>
                <w:szCs w:val="18"/>
              </w:rPr>
              <w:t xml:space="preserve"> 48 hours</w:t>
            </w:r>
          </w:p>
        </w:tc>
      </w:tr>
      <w:tr w:rsidR="00354805" w:rsidTr="00075582">
        <w:tc>
          <w:tcPr>
            <w:tcW w:w="0" w:type="auto"/>
          </w:tcPr>
          <w:p w:rsidR="00354805" w:rsidRPr="00FB74E5" w:rsidRDefault="00354805" w:rsidP="00075582">
            <w:pPr>
              <w:ind w:right="274"/>
              <w:rPr>
                <w:sz w:val="18"/>
                <w:szCs w:val="18"/>
              </w:rPr>
            </w:pPr>
            <w:r w:rsidRPr="00FB74E5">
              <w:rPr>
                <w:sz w:val="18"/>
                <w:szCs w:val="18"/>
              </w:rPr>
              <w:t>Radiation exposure incident</w:t>
            </w:r>
          </w:p>
        </w:tc>
        <w:tc>
          <w:tcPr>
            <w:tcW w:w="0" w:type="auto"/>
          </w:tcPr>
          <w:p w:rsidR="00354805" w:rsidRPr="00FB74E5" w:rsidRDefault="00354805" w:rsidP="00075582">
            <w:pPr>
              <w:spacing w:line="480" w:lineRule="auto"/>
              <w:ind w:left="360" w:right="274"/>
              <w:rPr>
                <w:sz w:val="18"/>
                <w:szCs w:val="18"/>
              </w:rPr>
            </w:pPr>
            <w:r w:rsidRPr="00FB74E5">
              <w:rPr>
                <w:sz w:val="18"/>
                <w:szCs w:val="18"/>
              </w:rPr>
              <w:t>Director</w:t>
            </w:r>
          </w:p>
        </w:tc>
        <w:tc>
          <w:tcPr>
            <w:tcW w:w="0" w:type="auto"/>
          </w:tcPr>
          <w:p w:rsidR="00354805" w:rsidRPr="00FB74E5" w:rsidRDefault="00354805" w:rsidP="00075582">
            <w:pPr>
              <w:spacing w:line="480" w:lineRule="auto"/>
              <w:ind w:left="360" w:right="274"/>
              <w:rPr>
                <w:sz w:val="18"/>
                <w:szCs w:val="18"/>
              </w:rPr>
            </w:pPr>
            <w:r w:rsidRPr="00FB74E5">
              <w:rPr>
                <w:sz w:val="18"/>
                <w:szCs w:val="18"/>
              </w:rPr>
              <w:t>MSE2 ADVISE</w:t>
            </w:r>
          </w:p>
        </w:tc>
        <w:tc>
          <w:tcPr>
            <w:tcW w:w="1809" w:type="dxa"/>
          </w:tcPr>
          <w:p w:rsidR="00354805" w:rsidRPr="00FB74E5" w:rsidRDefault="00354805" w:rsidP="00075582">
            <w:pPr>
              <w:spacing w:line="480" w:lineRule="auto"/>
              <w:ind w:left="360" w:right="274"/>
              <w:rPr>
                <w:sz w:val="18"/>
                <w:szCs w:val="18"/>
              </w:rPr>
            </w:pPr>
          </w:p>
        </w:tc>
      </w:tr>
      <w:tr w:rsidR="00354805" w:rsidTr="00075582">
        <w:tc>
          <w:tcPr>
            <w:tcW w:w="0" w:type="auto"/>
          </w:tcPr>
          <w:p w:rsidR="00354805" w:rsidRPr="00FB74E5" w:rsidRDefault="00354805" w:rsidP="00075582">
            <w:pPr>
              <w:spacing w:line="480" w:lineRule="auto"/>
              <w:ind w:right="274"/>
              <w:rPr>
                <w:sz w:val="18"/>
                <w:szCs w:val="18"/>
              </w:rPr>
            </w:pPr>
            <w:r w:rsidRPr="00FB74E5">
              <w:rPr>
                <w:sz w:val="18"/>
                <w:szCs w:val="18"/>
              </w:rPr>
              <w:t>Electrical incident</w:t>
            </w:r>
          </w:p>
        </w:tc>
        <w:tc>
          <w:tcPr>
            <w:tcW w:w="0" w:type="auto"/>
          </w:tcPr>
          <w:p w:rsidR="00354805" w:rsidRPr="00FB74E5" w:rsidRDefault="00354805" w:rsidP="00075582">
            <w:pPr>
              <w:spacing w:line="480" w:lineRule="auto"/>
              <w:ind w:left="360" w:right="274"/>
              <w:rPr>
                <w:sz w:val="18"/>
                <w:szCs w:val="18"/>
              </w:rPr>
            </w:pPr>
            <w:r w:rsidRPr="00FB74E5">
              <w:rPr>
                <w:sz w:val="18"/>
                <w:szCs w:val="18"/>
              </w:rPr>
              <w:t>CHECK</w:t>
            </w:r>
          </w:p>
        </w:tc>
        <w:tc>
          <w:tcPr>
            <w:tcW w:w="0" w:type="auto"/>
          </w:tcPr>
          <w:p w:rsidR="00354805" w:rsidRPr="00FB74E5" w:rsidRDefault="00354805" w:rsidP="00075582">
            <w:pPr>
              <w:spacing w:line="480" w:lineRule="auto"/>
              <w:ind w:left="360" w:right="274"/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354805" w:rsidRPr="00FB74E5" w:rsidRDefault="00354805" w:rsidP="00075582">
            <w:pPr>
              <w:spacing w:line="480" w:lineRule="auto"/>
              <w:ind w:left="360" w:right="274"/>
              <w:rPr>
                <w:sz w:val="18"/>
                <w:szCs w:val="18"/>
              </w:rPr>
            </w:pPr>
          </w:p>
        </w:tc>
      </w:tr>
    </w:tbl>
    <w:p w:rsidR="00354805" w:rsidRDefault="00354805" w:rsidP="00354805">
      <w:pPr>
        <w:rPr>
          <w:rFonts w:cs="Arial"/>
          <w:color w:val="000000"/>
        </w:rPr>
      </w:pPr>
    </w:p>
    <w:p w:rsidR="00354805" w:rsidRDefault="00354805" w:rsidP="00BF2759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All </w:t>
      </w:r>
      <w:r w:rsidR="00BF2759">
        <w:rPr>
          <w:rFonts w:cs="Arial"/>
          <w:color w:val="000000"/>
        </w:rPr>
        <w:t xml:space="preserve">PDO </w:t>
      </w:r>
      <w:r w:rsidRPr="00A50DE2">
        <w:rPr>
          <w:rFonts w:cs="Arial"/>
          <w:color w:val="000000"/>
        </w:rPr>
        <w:t>incidents, including near misses</w:t>
      </w:r>
      <w:r w:rsidR="00BF2759">
        <w:rPr>
          <w:rFonts w:cs="Arial"/>
          <w:color w:val="000000"/>
        </w:rPr>
        <w:t xml:space="preserve"> </w:t>
      </w:r>
      <w:r w:rsidRPr="00A50DE2">
        <w:rPr>
          <w:rFonts w:cs="Arial"/>
          <w:color w:val="000000"/>
        </w:rPr>
        <w:t xml:space="preserve">which have or could have caused injury or harm </w:t>
      </w:r>
      <w:r>
        <w:rPr>
          <w:rFonts w:cs="Arial"/>
          <w:color w:val="000000"/>
        </w:rPr>
        <w:t xml:space="preserve">need uploading in </w:t>
      </w:r>
      <w:r w:rsidRPr="006151BB">
        <w:rPr>
          <w:rFonts w:cs="Arial"/>
          <w:color w:val="000000"/>
        </w:rPr>
        <w:t>FIM within 24 hours</w:t>
      </w:r>
      <w:r w:rsidR="00BF2759">
        <w:rPr>
          <w:rFonts w:cs="Arial"/>
          <w:color w:val="000000"/>
        </w:rPr>
        <w:t xml:space="preserve"> after </w:t>
      </w:r>
      <w:r>
        <w:rPr>
          <w:rFonts w:cs="Arial"/>
          <w:color w:val="000000"/>
        </w:rPr>
        <w:t>determin</w:t>
      </w:r>
      <w:r w:rsidR="00BF2759">
        <w:rPr>
          <w:rFonts w:cs="Arial"/>
          <w:color w:val="000000"/>
        </w:rPr>
        <w:t>ing</w:t>
      </w:r>
      <w:r>
        <w:rPr>
          <w:rFonts w:cs="Arial"/>
          <w:color w:val="000000"/>
        </w:rPr>
        <w:t xml:space="preserve"> the actual incident severity and potential risk rating. </w:t>
      </w:r>
    </w:p>
    <w:p w:rsidR="00354805" w:rsidRDefault="00BF2759" w:rsidP="00BF2759">
      <w:r>
        <w:rPr>
          <w:rFonts w:cs="Arial"/>
          <w:color w:val="000000"/>
        </w:rPr>
        <w:t>For</w:t>
      </w:r>
      <w:r w:rsidR="00354805" w:rsidRPr="00C23428">
        <w:rPr>
          <w:rFonts w:cs="Arial"/>
          <w:color w:val="000000"/>
        </w:rPr>
        <w:t xml:space="preserve"> serious incident</w:t>
      </w:r>
      <w:r>
        <w:rPr>
          <w:rFonts w:cs="Arial"/>
          <w:color w:val="000000"/>
        </w:rPr>
        <w:t>s</w:t>
      </w:r>
      <w:r w:rsidR="00354805">
        <w:rPr>
          <w:rFonts w:cs="Arial"/>
          <w:b/>
          <w:bCs/>
          <w:color w:val="000000"/>
        </w:rPr>
        <w:t xml:space="preserve"> </w:t>
      </w:r>
      <w:r w:rsidR="00354805" w:rsidRPr="006A39B5">
        <w:rPr>
          <w:rFonts w:cs="Arial"/>
          <w:color w:val="000000"/>
        </w:rPr>
        <w:t>(</w:t>
      </w:r>
      <w:r w:rsidR="00354805">
        <w:rPr>
          <w:rFonts w:cs="Arial"/>
          <w:color w:val="000000"/>
        </w:rPr>
        <w:t xml:space="preserve">actual severity 3 or medium potential incidents or </w:t>
      </w:r>
      <w:proofErr w:type="gramStart"/>
      <w:r w:rsidR="00354805">
        <w:rPr>
          <w:rFonts w:cs="Arial"/>
          <w:color w:val="000000"/>
        </w:rPr>
        <w:t>above</w:t>
      </w:r>
      <w:r w:rsidR="00354805" w:rsidRPr="00C23428">
        <w:rPr>
          <w:rFonts w:cs="Arial"/>
          <w:color w:val="000000"/>
        </w:rPr>
        <w:t xml:space="preserve"> </w:t>
      </w:r>
      <w:r w:rsidR="00354805">
        <w:rPr>
          <w:rFonts w:cs="Arial"/>
          <w:color w:val="000000"/>
        </w:rPr>
        <w:t>)</w:t>
      </w:r>
      <w:proofErr w:type="gramEnd"/>
      <w:r w:rsidR="00354805">
        <w:rPr>
          <w:rFonts w:cs="Arial"/>
          <w:color w:val="000000"/>
        </w:rPr>
        <w:t xml:space="preserve"> </w:t>
      </w:r>
      <w:r w:rsidR="00354805" w:rsidRPr="00C23428">
        <w:rPr>
          <w:rFonts w:cs="Arial"/>
          <w:color w:val="000000"/>
        </w:rPr>
        <w:t>a</w:t>
      </w:r>
      <w:r w:rsidR="00354805">
        <w:rPr>
          <w:rFonts w:cs="Arial"/>
          <w:color w:val="000000"/>
        </w:rPr>
        <w:t>n investigation team should be deployed to the incident scene to conduct the ‘on-scene’ investigation  within 24 hours.</w:t>
      </w:r>
    </w:p>
    <w:bookmarkEnd w:id="2"/>
    <w:bookmarkEnd w:id="1"/>
    <w:p w:rsidR="00035430" w:rsidRPr="0056347A" w:rsidRDefault="00A37C37" w:rsidP="00BF2759">
      <w:pPr>
        <w:ind w:right="270"/>
        <w:rPr>
          <w:b/>
          <w:bCs/>
        </w:rPr>
      </w:pPr>
      <w:r w:rsidRPr="00A37C37">
        <w:rPr>
          <w:rFonts w:cs="Arial"/>
        </w:rPr>
        <w:t>For more in</w:t>
      </w:r>
      <w:r>
        <w:rPr>
          <w:rFonts w:cs="Arial"/>
        </w:rPr>
        <w:t>-</w:t>
      </w:r>
      <w:r w:rsidRPr="00A37C37">
        <w:rPr>
          <w:rFonts w:cs="Arial"/>
        </w:rPr>
        <w:t xml:space="preserve">depth guidance see </w:t>
      </w:r>
      <w:proofErr w:type="gramStart"/>
      <w:r w:rsidR="00BF2759">
        <w:rPr>
          <w:rFonts w:cs="Arial"/>
        </w:rPr>
        <w:t xml:space="preserve">PR1418 </w:t>
      </w:r>
      <w:r w:rsidRPr="00A37C37">
        <w:rPr>
          <w:rFonts w:cs="Arial"/>
        </w:rPr>
        <w:t xml:space="preserve"> page</w:t>
      </w:r>
      <w:proofErr w:type="gramEnd"/>
      <w:r w:rsidRPr="00A37C37">
        <w:rPr>
          <w:rFonts w:cs="Arial"/>
        </w:rPr>
        <w:t xml:space="preserve"> </w:t>
      </w:r>
      <w:r w:rsidR="00900C5A">
        <w:rPr>
          <w:rFonts w:cs="Arial"/>
        </w:rPr>
        <w:t>1</w:t>
      </w:r>
      <w:r w:rsidR="00BF2759">
        <w:rPr>
          <w:rFonts w:cs="Arial"/>
        </w:rPr>
        <w:t>6</w:t>
      </w:r>
      <w:r w:rsidRPr="00A37C37">
        <w:rPr>
          <w:rFonts w:cs="Arial"/>
        </w:rPr>
        <w:t>.</w:t>
      </w:r>
      <w:r w:rsidR="00BF2759">
        <w:rPr>
          <w:rFonts w:cs="Arial"/>
        </w:rPr>
        <w:t xml:space="preserve">     </w:t>
      </w:r>
      <w:r w:rsidRPr="0056347A">
        <w:rPr>
          <w:b/>
          <w:bCs/>
        </w:rPr>
        <w:t>End of guidance</w:t>
      </w:r>
    </w:p>
    <w:sectPr w:rsidR="00035430" w:rsidRPr="0056347A" w:rsidSect="00AC4526">
      <w:pgSz w:w="12240" w:h="15840"/>
      <w:pgMar w:top="1440" w:right="81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A7D"/>
    <w:multiLevelType w:val="multilevel"/>
    <w:tmpl w:val="B810ADFC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3"/>
      <w:numFmt w:val="decimal"/>
      <w:isLgl/>
      <w:lvlText w:val="%1.%2"/>
      <w:lvlJc w:val="left"/>
      <w:pPr>
        <w:ind w:left="1648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440"/>
      </w:pPr>
      <w:rPr>
        <w:rFonts w:hint="default"/>
      </w:rPr>
    </w:lvl>
  </w:abstractNum>
  <w:abstractNum w:abstractNumId="1">
    <w:nsid w:val="125278E5"/>
    <w:multiLevelType w:val="multilevel"/>
    <w:tmpl w:val="8EAA9CB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2"/>
      <w:numFmt w:val="decimal"/>
      <w:lvlText w:val="%1.1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1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1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2">
    <w:nsid w:val="17123308"/>
    <w:multiLevelType w:val="hybridMultilevel"/>
    <w:tmpl w:val="E14E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5485B"/>
    <w:multiLevelType w:val="multilevel"/>
    <w:tmpl w:val="8EAA9CB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2"/>
      <w:numFmt w:val="decimal"/>
      <w:lvlText w:val="%1.1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1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1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4">
    <w:nsid w:val="28A27E22"/>
    <w:multiLevelType w:val="hybridMultilevel"/>
    <w:tmpl w:val="51826F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FD11AD2"/>
    <w:multiLevelType w:val="hybridMultilevel"/>
    <w:tmpl w:val="72C42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213B1"/>
    <w:multiLevelType w:val="multilevel"/>
    <w:tmpl w:val="2952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6A21F5A"/>
    <w:multiLevelType w:val="multilevel"/>
    <w:tmpl w:val="550C43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3FBF4547"/>
    <w:multiLevelType w:val="hybridMultilevel"/>
    <w:tmpl w:val="E852223C"/>
    <w:lvl w:ilvl="0" w:tplc="0409000D">
      <w:start w:val="1"/>
      <w:numFmt w:val="bullet"/>
      <w:lvlText w:val=""/>
      <w:lvlJc w:val="left"/>
      <w:pPr>
        <w:tabs>
          <w:tab w:val="num" w:pos="504"/>
        </w:tabs>
        <w:ind w:left="504" w:hanging="288"/>
      </w:pPr>
      <w:rPr>
        <w:rFonts w:ascii="Wingdings" w:hAnsi="Wingdings" w:hint="default"/>
        <w:b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360D44"/>
    <w:multiLevelType w:val="multilevel"/>
    <w:tmpl w:val="D1A2C56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48"/>
        </w:tabs>
        <w:ind w:left="154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8620D81"/>
    <w:multiLevelType w:val="hybridMultilevel"/>
    <w:tmpl w:val="FD1EF5CE"/>
    <w:lvl w:ilvl="0" w:tplc="6C5A41D8">
      <w:start w:val="1"/>
      <w:numFmt w:val="upperRoman"/>
      <w:lvlText w:val="%1."/>
      <w:lvlJc w:val="right"/>
      <w:pPr>
        <w:ind w:left="1440" w:hanging="360"/>
      </w:pPr>
      <w:rPr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E4F542D"/>
    <w:multiLevelType w:val="hybridMultilevel"/>
    <w:tmpl w:val="F252CE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A04FF"/>
    <w:multiLevelType w:val="multilevel"/>
    <w:tmpl w:val="74E87B6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>
    <w:nsid w:val="6F3876AA"/>
    <w:multiLevelType w:val="hybridMultilevel"/>
    <w:tmpl w:val="6B7CFF4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7626638C"/>
    <w:multiLevelType w:val="hybridMultilevel"/>
    <w:tmpl w:val="8144A6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7AA13719"/>
    <w:multiLevelType w:val="multilevel"/>
    <w:tmpl w:val="934424AE"/>
    <w:lvl w:ilvl="0">
      <w:start w:val="2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2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37" w:hanging="737"/>
      </w:pPr>
    </w:lvl>
    <w:lvl w:ilvl="4">
      <w:start w:val="1"/>
      <w:numFmt w:val="none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upperLetter"/>
      <w:pStyle w:val="Heading7"/>
      <w:lvlText w:val="%6%7"/>
      <w:lvlJc w:val="left"/>
      <w:pPr>
        <w:tabs>
          <w:tab w:val="num" w:pos="737"/>
        </w:tabs>
        <w:ind w:left="737" w:hanging="737"/>
      </w:pPr>
    </w:lvl>
    <w:lvl w:ilvl="7">
      <w:start w:val="1"/>
      <w:numFmt w:val="decimal"/>
      <w:pStyle w:val="Heading8"/>
      <w:lvlText w:val="%7.%8"/>
      <w:lvlJc w:val="left"/>
      <w:pPr>
        <w:tabs>
          <w:tab w:val="num" w:pos="737"/>
        </w:tabs>
        <w:ind w:left="737" w:hanging="737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0"/>
  </w:num>
  <w:num w:numId="5">
    <w:abstractNumId w:val="5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  <w:num w:numId="12">
    <w:abstractNumId w:val="12"/>
  </w:num>
  <w:num w:numId="13">
    <w:abstractNumId w:val="14"/>
  </w:num>
  <w:num w:numId="14">
    <w:abstractNumId w:val="13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B16AFB"/>
    <w:rsid w:val="00006DC5"/>
    <w:rsid w:val="00035430"/>
    <w:rsid w:val="00037519"/>
    <w:rsid w:val="00037946"/>
    <w:rsid w:val="000F5B3D"/>
    <w:rsid w:val="001B64ED"/>
    <w:rsid w:val="002359D3"/>
    <w:rsid w:val="00245216"/>
    <w:rsid w:val="002C0243"/>
    <w:rsid w:val="002D6AE3"/>
    <w:rsid w:val="00354054"/>
    <w:rsid w:val="00354805"/>
    <w:rsid w:val="005229DE"/>
    <w:rsid w:val="0053644A"/>
    <w:rsid w:val="0056347A"/>
    <w:rsid w:val="00593ED2"/>
    <w:rsid w:val="005B4ECD"/>
    <w:rsid w:val="00620DDD"/>
    <w:rsid w:val="00630440"/>
    <w:rsid w:val="00670452"/>
    <w:rsid w:val="00691F9C"/>
    <w:rsid w:val="006B03BF"/>
    <w:rsid w:val="006C3F3C"/>
    <w:rsid w:val="007359E4"/>
    <w:rsid w:val="00756363"/>
    <w:rsid w:val="00773A17"/>
    <w:rsid w:val="007D3806"/>
    <w:rsid w:val="007F3B76"/>
    <w:rsid w:val="007F739B"/>
    <w:rsid w:val="0080144E"/>
    <w:rsid w:val="0088243F"/>
    <w:rsid w:val="008C7621"/>
    <w:rsid w:val="00900C5A"/>
    <w:rsid w:val="00914E31"/>
    <w:rsid w:val="0095745D"/>
    <w:rsid w:val="009C3CFC"/>
    <w:rsid w:val="00A05373"/>
    <w:rsid w:val="00A05792"/>
    <w:rsid w:val="00A37C37"/>
    <w:rsid w:val="00A45661"/>
    <w:rsid w:val="00A81663"/>
    <w:rsid w:val="00AC4526"/>
    <w:rsid w:val="00B14327"/>
    <w:rsid w:val="00B16AFB"/>
    <w:rsid w:val="00B73DDD"/>
    <w:rsid w:val="00B94265"/>
    <w:rsid w:val="00BF2759"/>
    <w:rsid w:val="00C720EF"/>
    <w:rsid w:val="00C949FB"/>
    <w:rsid w:val="00D57C70"/>
    <w:rsid w:val="00DA41A2"/>
    <w:rsid w:val="00DE532C"/>
    <w:rsid w:val="00E37A6F"/>
    <w:rsid w:val="00ED5EC8"/>
    <w:rsid w:val="00F63D47"/>
    <w:rsid w:val="00F90A28"/>
    <w:rsid w:val="00F95B46"/>
    <w:rsid w:val="00FB2FF2"/>
    <w:rsid w:val="00FD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>
      <o:colormenu v:ext="edit" fillcolor="none [3214]"/>
    </o:shapedefaults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4"/>
        <o:r id="V:Rule4" type="connector" idref="#_x0000_s1035"/>
        <o:r id="V:Rule5" type="connector" idref="#_x0000_s1036"/>
        <o:r id="V:Rule6" type="connector" idref="#_x0000_s1037"/>
        <o:r id="V:Rule7" type="connector" idref="#_x0000_s1038"/>
        <o:r id="V:Rule8" type="connector" idref="#_x0000_s1039"/>
        <o:r id="V:Rule9" type="connector" idref="#_x0000_s1040"/>
        <o:r id="V:Rule10" type="connector" idref="#_x0000_s1041"/>
        <o:r id="V:Rule11" type="connector" idref="#_x0000_s1042"/>
        <o:r id="V:Rule12" type="connector" idref="#_x0000_s1043"/>
        <o:r id="V:Rule13" type="connector" idref="#_x0000_s1045"/>
        <o:r id="V:Rule14" type="connector" idref="#_x0000_s1046"/>
        <o:r id="V:Rule15" type="connector" idref="#_x0000_s1047"/>
        <o:r id="V:Rule16" type="connector" idref="#_x0000_s1048"/>
        <o:r id="V:Rule17" type="connector" idref="#_x0000_s1049"/>
        <o:r id="V:Rule18" type="connector" idref="#_x0000_s1050"/>
        <o:r id="V:Rule19" type="connector" idref="#_x0000_s1051"/>
        <o:r id="V:Rule20" type="connector" idref="#_x0000_s1052"/>
        <o:r id="V:Rule21" type="connector" idref="#_x0000_s1053"/>
        <o:r id="V:Rule22" type="connector" idref="#_x0000_s1054"/>
        <o:r id="V:Rule23" type="connector" idref="#_x0000_s1055"/>
        <o:r id="V:Rule24" type="connector" idref="#_x0000_s1056"/>
        <o:r id="V:Rule25" type="connector" idref="#_x0000_s1057"/>
        <o:r id="V:Rule26" type="connector" idref="#_x0000_s1059"/>
        <o:r id="V:Rule27" type="connector" idref="#_x0000_s1076"/>
        <o:r id="V:Rule28" type="connector" idref="#_x0000_s1077"/>
        <o:r id="V:Rule29" type="connector" idref="#_x0000_s1078"/>
        <o:r id="V:Rule30" type="connector" idref="#_x0000_s1079"/>
        <o:r id="V:Rule31" type="connector" idref="#_x0000_s1080"/>
        <o:r id="V:Rule33" type="connector" idref="#_x0000_s1081"/>
        <o:r id="V:Rule35" type="connector" idref="#_x0000_s1082"/>
        <o:r id="V:Rule36" type="connector" idref="#_x0000_s1083"/>
        <o:r id="V:Rule37" type="connector" idref="#_x0000_s1084"/>
        <o:r id="V:Rule38" type="connector" idref="#_x0000_s1085"/>
        <o:r id="V:Rule39" type="connector" idref="#_x0000_s1086"/>
        <o:r id="V:Rule41" type="connector" idref="#_x0000_s1087"/>
        <o:r id="V:Rule43" type="connector" idref="#_x0000_s1088"/>
        <o:r id="V:Rule44" type="connector" idref="#_x0000_s108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6F"/>
  </w:style>
  <w:style w:type="paragraph" w:styleId="Heading1">
    <w:name w:val="heading 1"/>
    <w:basedOn w:val="Normal"/>
    <w:next w:val="Normal"/>
    <w:link w:val="Heading1Char"/>
    <w:qFormat/>
    <w:rsid w:val="00FB2FF2"/>
    <w:pPr>
      <w:keepNext/>
      <w:pageBreakBefore/>
      <w:numPr>
        <w:numId w:val="1"/>
      </w:numPr>
      <w:spacing w:after="240" w:line="240" w:lineRule="auto"/>
      <w:contextualSpacing/>
      <w:jc w:val="both"/>
      <w:outlineLvl w:val="0"/>
    </w:pPr>
    <w:rPr>
      <w:rFonts w:ascii="Arial" w:eastAsia="Times New Roman" w:hAnsi="Arial" w:cs="Times New Roman"/>
      <w:b/>
      <w:bCs/>
      <w:kern w:val="16"/>
      <w:sz w:val="28"/>
      <w:szCs w:val="28"/>
      <w:lang w:val="en-GB"/>
    </w:rPr>
  </w:style>
  <w:style w:type="paragraph" w:styleId="Heading2">
    <w:name w:val="heading 2"/>
    <w:aliases w:val=" Char1"/>
    <w:basedOn w:val="Normal"/>
    <w:next w:val="Normal"/>
    <w:link w:val="Heading2Char"/>
    <w:qFormat/>
    <w:rsid w:val="00FB2FF2"/>
    <w:pPr>
      <w:keepNext/>
      <w:numPr>
        <w:ilvl w:val="1"/>
        <w:numId w:val="1"/>
      </w:numPr>
      <w:spacing w:before="360" w:after="120" w:line="240" w:lineRule="auto"/>
      <w:contextualSpacing/>
      <w:jc w:val="both"/>
      <w:outlineLvl w:val="1"/>
    </w:pPr>
    <w:rPr>
      <w:rFonts w:ascii="Arial" w:eastAsia="Times New Roman" w:hAnsi="Arial" w:cs="Times New Roman"/>
      <w:b/>
      <w:bCs/>
      <w:kern w:val="16"/>
      <w:sz w:val="24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FB2FF2"/>
    <w:pPr>
      <w:keepNext/>
      <w:numPr>
        <w:ilvl w:val="2"/>
        <w:numId w:val="1"/>
      </w:numPr>
      <w:spacing w:before="360" w:after="120" w:line="240" w:lineRule="auto"/>
      <w:contextualSpacing/>
      <w:jc w:val="both"/>
      <w:outlineLvl w:val="2"/>
    </w:pPr>
    <w:rPr>
      <w:rFonts w:ascii="Arial" w:eastAsia="Times New Roman" w:hAnsi="Arial" w:cs="Times New Roman"/>
      <w:b/>
      <w:iCs/>
      <w:kern w:val="16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FB2FF2"/>
    <w:pPr>
      <w:keepNext/>
      <w:numPr>
        <w:ilvl w:val="3"/>
        <w:numId w:val="1"/>
      </w:numPr>
      <w:spacing w:before="360" w:after="120" w:line="240" w:lineRule="auto"/>
      <w:jc w:val="both"/>
      <w:outlineLvl w:val="3"/>
    </w:pPr>
    <w:rPr>
      <w:rFonts w:ascii="Arial" w:eastAsia="Times New Roman" w:hAnsi="Arial" w:cs="Arial"/>
      <w:b/>
      <w:bCs/>
      <w:kern w:val="16"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FB2FF2"/>
    <w:pPr>
      <w:keepNext/>
      <w:numPr>
        <w:ilvl w:val="4"/>
        <w:numId w:val="1"/>
      </w:numPr>
      <w:tabs>
        <w:tab w:val="left" w:pos="1701"/>
      </w:tabs>
      <w:spacing w:before="240" w:after="60" w:line="240" w:lineRule="auto"/>
      <w:jc w:val="both"/>
      <w:outlineLvl w:val="4"/>
    </w:pPr>
    <w:rPr>
      <w:rFonts w:ascii="Arial" w:eastAsia="Times New Roman" w:hAnsi="Arial" w:cs="Arial"/>
      <w:b/>
      <w:bCs/>
      <w:i/>
      <w:iCs/>
      <w:sz w:val="20"/>
      <w:szCs w:val="20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FB2FF2"/>
    <w:pPr>
      <w:keepNext/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b/>
      <w:bCs/>
      <w:i/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670452"/>
    <w:pPr>
      <w:numPr>
        <w:ilvl w:val="6"/>
        <w:numId w:val="3"/>
      </w:numPr>
      <w:tabs>
        <w:tab w:val="clear" w:pos="737"/>
        <w:tab w:val="num" w:pos="360"/>
      </w:tabs>
      <w:spacing w:after="240" w:line="240" w:lineRule="auto"/>
      <w:ind w:left="0" w:firstLine="0"/>
      <w:jc w:val="both"/>
      <w:outlineLvl w:val="6"/>
    </w:pPr>
    <w:rPr>
      <w:rFonts w:ascii="Arial" w:eastAsia="Times New Roman" w:hAnsi="Arial" w:cs="Times New Roman"/>
      <w:b/>
      <w:sz w:val="20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670452"/>
    <w:pPr>
      <w:numPr>
        <w:ilvl w:val="7"/>
        <w:numId w:val="3"/>
      </w:numPr>
      <w:tabs>
        <w:tab w:val="clear" w:pos="737"/>
        <w:tab w:val="num" w:pos="360"/>
      </w:tabs>
      <w:spacing w:after="240" w:line="240" w:lineRule="auto"/>
      <w:ind w:left="0" w:firstLine="0"/>
      <w:jc w:val="both"/>
      <w:outlineLvl w:val="7"/>
    </w:pPr>
    <w:rPr>
      <w:rFonts w:ascii="Arial" w:eastAsia="Times New Roman" w:hAnsi="Arial" w:cs="Times New Roman"/>
      <w:b/>
      <w:sz w:val="20"/>
      <w:szCs w:val="20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670452"/>
    <w:pPr>
      <w:numPr>
        <w:ilvl w:val="8"/>
        <w:numId w:val="3"/>
      </w:numPr>
      <w:tabs>
        <w:tab w:val="clear" w:pos="1584"/>
        <w:tab w:val="num" w:pos="360"/>
      </w:tabs>
      <w:spacing w:before="240" w:after="60" w:line="240" w:lineRule="auto"/>
      <w:ind w:left="0" w:firstLine="0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2FF2"/>
    <w:rPr>
      <w:rFonts w:ascii="Arial" w:eastAsia="Times New Roman" w:hAnsi="Arial" w:cs="Times New Roman"/>
      <w:b/>
      <w:bCs/>
      <w:kern w:val="16"/>
      <w:sz w:val="28"/>
      <w:szCs w:val="28"/>
      <w:lang w:val="en-GB"/>
    </w:rPr>
  </w:style>
  <w:style w:type="character" w:customStyle="1" w:styleId="Heading2Char">
    <w:name w:val="Heading 2 Char"/>
    <w:aliases w:val=" Char1 Char"/>
    <w:basedOn w:val="DefaultParagraphFont"/>
    <w:link w:val="Heading2"/>
    <w:rsid w:val="00FB2FF2"/>
    <w:rPr>
      <w:rFonts w:ascii="Arial" w:eastAsia="Times New Roman" w:hAnsi="Arial" w:cs="Times New Roman"/>
      <w:b/>
      <w:bCs/>
      <w:kern w:val="16"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FB2FF2"/>
    <w:rPr>
      <w:rFonts w:ascii="Arial" w:eastAsia="Times New Roman" w:hAnsi="Arial" w:cs="Times New Roman"/>
      <w:b/>
      <w:iCs/>
      <w:kern w:val="16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FB2FF2"/>
    <w:rPr>
      <w:rFonts w:ascii="Arial" w:eastAsia="Times New Roman" w:hAnsi="Arial" w:cs="Arial"/>
      <w:b/>
      <w:bCs/>
      <w:kern w:val="16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FB2FF2"/>
    <w:rPr>
      <w:rFonts w:ascii="Arial" w:eastAsia="Times New Roman" w:hAnsi="Arial" w:cs="Arial"/>
      <w:b/>
      <w:bCs/>
      <w:i/>
      <w:iCs/>
      <w:sz w:val="20"/>
      <w:szCs w:val="2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FB2FF2"/>
    <w:rPr>
      <w:rFonts w:ascii="Arial" w:eastAsia="Times New Roman" w:hAnsi="Arial" w:cs="Times New Roman"/>
      <w:b/>
      <w:bCs/>
      <w:i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670452"/>
    <w:rPr>
      <w:rFonts w:ascii="Arial" w:eastAsia="Times New Roman" w:hAnsi="Arial" w:cs="Times New Roman"/>
      <w:b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670452"/>
    <w:rPr>
      <w:rFonts w:ascii="Arial" w:eastAsia="Times New Roman" w:hAnsi="Arial" w:cs="Times New Roman"/>
      <w:b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670452"/>
    <w:rPr>
      <w:rFonts w:ascii="Arial" w:eastAsia="Times New Roman" w:hAnsi="Arial" w:cs="Times New Roman"/>
      <w:b/>
      <w:i/>
      <w:sz w:val="18"/>
      <w:szCs w:val="20"/>
      <w:lang w:val="en-GB" w:eastAsia="en-GB"/>
    </w:rPr>
  </w:style>
  <w:style w:type="paragraph" w:styleId="ListParagraph">
    <w:name w:val="List Paragraph"/>
    <w:basedOn w:val="Normal"/>
    <w:uiPriority w:val="99"/>
    <w:qFormat/>
    <w:rsid w:val="00670452"/>
    <w:pPr>
      <w:spacing w:after="0" w:line="240" w:lineRule="auto"/>
      <w:ind w:left="720"/>
    </w:pPr>
    <w:rPr>
      <w:rFonts w:ascii="Tahoma" w:eastAsia="Times" w:hAnsi="Tahoma" w:cs="Tahoma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354805"/>
    <w:rPr>
      <w:i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F:/Chris%20work/Accident%20investigation/pr1418/Incident%20investigation%20folder%20MSE54/GU612%20template%20v11.doc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655C5906BC345BE36D3E92AA5827E" ma:contentTypeVersion="5" ma:contentTypeDescription="Create a new document." ma:contentTypeScope="" ma:versionID="6870c65ab8c8336b6ebd4435727fb199">
  <xsd:schema xmlns:xsd="http://www.w3.org/2001/XMLSchema" xmlns:xs="http://www.w3.org/2001/XMLSchema" xmlns:p="http://schemas.microsoft.com/office/2006/metadata/properties" xmlns:ns1="http://schemas.microsoft.com/sharepoint/v3" xmlns:ns2="9d51eac6-a7d5-47f5-a119-63d146adb134" targetNamespace="http://schemas.microsoft.com/office/2006/metadata/properties" ma:root="true" ma:fieldsID="583d4c3cb9818ee969a664e99fb67258" ns1:_="" ns2:_="">
    <xsd:import namespace="http://schemas.microsoft.com/sharepoint/v3"/>
    <xsd:import namespace="9d51eac6-a7d5-47f5-a119-63d146adb13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1eac6-a7d5-47f5-a119-63d146adb1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3FA532-9525-4285-AF9A-8956B501148E}"/>
</file>

<file path=customXml/itemProps2.xml><?xml version="1.0" encoding="utf-8"?>
<ds:datastoreItem xmlns:ds="http://schemas.openxmlformats.org/officeDocument/2006/customXml" ds:itemID="{22CED283-EB0F-4A2B-BC3A-F0B7D77E0C45}"/>
</file>

<file path=customXml/itemProps3.xml><?xml version="1.0" encoding="utf-8"?>
<ds:datastoreItem xmlns:ds="http://schemas.openxmlformats.org/officeDocument/2006/customXml" ds:itemID="{8450EA33-5B80-4EC7-8384-C7E63690E4FB}"/>
</file>

<file path=customXml/itemProps4.xml><?xml version="1.0" encoding="utf-8"?>
<ds:datastoreItem xmlns:ds="http://schemas.openxmlformats.org/officeDocument/2006/customXml" ds:itemID="{BB70C8AA-B98D-4FE3-9886-33D09DB0CF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PDO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mu54394</dc:creator>
  <cp:lastModifiedBy>mu54394</cp:lastModifiedBy>
  <cp:revision>2</cp:revision>
  <dcterms:created xsi:type="dcterms:W3CDTF">2012-06-09T11:50:00Z</dcterms:created>
  <dcterms:modified xsi:type="dcterms:W3CDTF">2012-06-09T11:50:00Z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0x010100E26655C5906BC345BE36D3E92AA5827E</vt:lpwstr>
  </property>
</Properties>
</file>